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319DA" w14:textId="77777777" w:rsidR="00EF6246" w:rsidRDefault="00EF6246" w:rsidP="000D5D03">
      <w:pPr>
        <w:jc w:val="both"/>
        <w:rPr>
          <w:rFonts w:ascii="Times New Roman" w:hAnsi="Times New Roman" w:cs="Times New Roman"/>
          <w:sz w:val="24"/>
          <w:szCs w:val="24"/>
        </w:rPr>
      </w:pPr>
    </w:p>
    <w:p w14:paraId="796400D6" w14:textId="77777777" w:rsidR="00EF6246" w:rsidRDefault="00EF6246" w:rsidP="000D5D03">
      <w:pPr>
        <w:jc w:val="both"/>
        <w:rPr>
          <w:rFonts w:ascii="Times New Roman" w:hAnsi="Times New Roman" w:cs="Times New Roman"/>
          <w:sz w:val="24"/>
          <w:szCs w:val="24"/>
        </w:rPr>
      </w:pPr>
    </w:p>
    <w:p w14:paraId="6F3A8B60" w14:textId="77777777" w:rsidR="00532ED3" w:rsidRPr="00532ED3" w:rsidRDefault="00532ED3" w:rsidP="00532ED3">
      <w:pPr>
        <w:tabs>
          <w:tab w:val="left" w:pos="993"/>
        </w:tabs>
        <w:spacing w:after="0" w:line="276" w:lineRule="auto"/>
        <w:ind w:firstLine="720"/>
        <w:jc w:val="both"/>
        <w:rPr>
          <w:rFonts w:ascii="Times New Roman" w:eastAsia="Calibri" w:hAnsi="Times New Roman" w:cs="Times New Roman"/>
          <w:i/>
          <w:iCs/>
          <w:kern w:val="0"/>
          <w:sz w:val="24"/>
          <w:szCs w:val="24"/>
          <w:lang w:eastAsia="lt-LT"/>
          <w14:ligatures w14:val="none"/>
        </w:rPr>
      </w:pPr>
      <w:bookmarkStart w:id="0" w:name="_Hlk158008212"/>
      <w:r w:rsidRPr="00532ED3">
        <w:rPr>
          <w:rFonts w:ascii="Times New Roman" w:eastAsia="Calibri" w:hAnsi="Times New Roman" w:cs="Times New Roman"/>
          <w:i/>
          <w:iCs/>
          <w:kern w:val="0"/>
          <w:sz w:val="24"/>
          <w:szCs w:val="24"/>
          <w:lang w:eastAsia="lt-LT"/>
          <w14:ligatures w14:val="none"/>
        </w:rPr>
        <w:t>Tiekėjams</w:t>
      </w:r>
    </w:p>
    <w:p w14:paraId="3401D0C5" w14:textId="7824CE74" w:rsidR="00532ED3" w:rsidRPr="00532ED3" w:rsidRDefault="00532ED3" w:rsidP="00532ED3">
      <w:pPr>
        <w:tabs>
          <w:tab w:val="left" w:pos="993"/>
        </w:tabs>
        <w:spacing w:after="0" w:line="276" w:lineRule="auto"/>
        <w:ind w:firstLine="720"/>
        <w:jc w:val="both"/>
        <w:rPr>
          <w:rFonts w:ascii="Times New Roman" w:eastAsia="Calibri" w:hAnsi="Times New Roman" w:cs="Times New Roman"/>
          <w:kern w:val="0"/>
          <w:sz w:val="24"/>
          <w:szCs w:val="24"/>
          <w:lang w:val="en-US" w:eastAsia="lt-LT"/>
          <w14:ligatures w14:val="none"/>
        </w:rPr>
      </w:pPr>
      <w:r w:rsidRPr="00532ED3">
        <w:rPr>
          <w:rFonts w:ascii="Times New Roman" w:eastAsia="Calibri" w:hAnsi="Times New Roman" w:cs="Times New Roman"/>
          <w:i/>
          <w:iCs/>
          <w:kern w:val="0"/>
          <w:sz w:val="24"/>
          <w:szCs w:val="24"/>
          <w:lang w:eastAsia="lt-LT"/>
          <w14:ligatures w14:val="none"/>
        </w:rPr>
        <w:t>Teikiama CVP IS priemonėmis</w:t>
      </w:r>
      <w:r w:rsidRPr="00532ED3">
        <w:rPr>
          <w:rFonts w:ascii="Times New Roman" w:eastAsia="Calibri" w:hAnsi="Times New Roman" w:cs="Times New Roman"/>
          <w:kern w:val="0"/>
          <w:sz w:val="24"/>
          <w:szCs w:val="24"/>
          <w:lang w:eastAsia="lt-LT"/>
          <w14:ligatures w14:val="none"/>
        </w:rPr>
        <w:tab/>
      </w:r>
      <w:r w:rsidRPr="00532ED3">
        <w:rPr>
          <w:rFonts w:ascii="Times New Roman" w:eastAsia="Calibri" w:hAnsi="Times New Roman" w:cs="Times New Roman"/>
          <w:kern w:val="0"/>
          <w:sz w:val="24"/>
          <w:szCs w:val="24"/>
          <w:lang w:eastAsia="lt-LT"/>
          <w14:ligatures w14:val="none"/>
        </w:rPr>
        <w:tab/>
      </w:r>
      <w:r w:rsidRPr="00532ED3">
        <w:rPr>
          <w:rFonts w:ascii="Times New Roman" w:eastAsia="Calibri" w:hAnsi="Times New Roman" w:cs="Times New Roman"/>
          <w:kern w:val="0"/>
          <w:sz w:val="24"/>
          <w:szCs w:val="24"/>
          <w:lang w:eastAsia="lt-LT"/>
          <w14:ligatures w14:val="none"/>
        </w:rPr>
        <w:tab/>
      </w:r>
      <w:r w:rsidRPr="00532ED3">
        <w:rPr>
          <w:rFonts w:ascii="Times New Roman" w:eastAsia="Calibri" w:hAnsi="Times New Roman" w:cs="Times New Roman"/>
          <w:kern w:val="0"/>
          <w:sz w:val="24"/>
          <w:szCs w:val="24"/>
          <w:lang w:eastAsia="lt-LT"/>
          <w14:ligatures w14:val="none"/>
        </w:rPr>
        <w:tab/>
      </w:r>
      <w:r w:rsidR="00216860">
        <w:rPr>
          <w:rFonts w:ascii="Times New Roman" w:eastAsia="Calibri" w:hAnsi="Times New Roman" w:cs="Times New Roman"/>
          <w:kern w:val="0"/>
          <w:sz w:val="24"/>
          <w:szCs w:val="24"/>
          <w:lang w:eastAsia="lt-LT"/>
          <w14:ligatures w14:val="none"/>
        </w:rPr>
        <w:tab/>
      </w:r>
      <w:r w:rsidR="00216860">
        <w:rPr>
          <w:rFonts w:ascii="Times New Roman" w:eastAsia="Calibri" w:hAnsi="Times New Roman" w:cs="Times New Roman"/>
          <w:kern w:val="0"/>
          <w:sz w:val="24"/>
          <w:szCs w:val="24"/>
          <w:lang w:eastAsia="lt-LT"/>
          <w14:ligatures w14:val="none"/>
        </w:rPr>
        <w:tab/>
      </w:r>
      <w:r w:rsidRPr="00532ED3">
        <w:rPr>
          <w:rFonts w:ascii="Times New Roman" w:eastAsia="Calibri" w:hAnsi="Times New Roman" w:cs="Times New Roman"/>
          <w:kern w:val="0"/>
          <w:sz w:val="24"/>
          <w:szCs w:val="24"/>
          <w:lang w:eastAsia="lt-LT"/>
          <w14:ligatures w14:val="none"/>
        </w:rPr>
        <w:t>2025-</w:t>
      </w:r>
      <w:r>
        <w:rPr>
          <w:rFonts w:ascii="Times New Roman" w:eastAsia="Calibri" w:hAnsi="Times New Roman" w:cs="Times New Roman"/>
          <w:kern w:val="0"/>
          <w:sz w:val="24"/>
          <w:szCs w:val="24"/>
          <w:lang w:val="en-US" w:eastAsia="lt-LT"/>
          <w14:ligatures w14:val="none"/>
        </w:rPr>
        <w:t>12</w:t>
      </w:r>
      <w:r w:rsidRPr="00532ED3">
        <w:rPr>
          <w:rFonts w:ascii="Times New Roman" w:eastAsia="Calibri" w:hAnsi="Times New Roman" w:cs="Times New Roman"/>
          <w:kern w:val="0"/>
          <w:sz w:val="24"/>
          <w:szCs w:val="24"/>
          <w:lang w:eastAsia="lt-LT"/>
          <w14:ligatures w14:val="none"/>
        </w:rPr>
        <w:t>-</w:t>
      </w:r>
      <w:r>
        <w:rPr>
          <w:rFonts w:ascii="Times New Roman" w:eastAsia="Calibri" w:hAnsi="Times New Roman" w:cs="Times New Roman"/>
          <w:kern w:val="0"/>
          <w:sz w:val="24"/>
          <w:szCs w:val="24"/>
          <w:lang w:eastAsia="lt-LT"/>
          <w14:ligatures w14:val="none"/>
        </w:rPr>
        <w:t>0</w:t>
      </w:r>
      <w:r w:rsidR="00334DCD">
        <w:rPr>
          <w:rFonts w:ascii="Times New Roman" w:eastAsia="Calibri" w:hAnsi="Times New Roman" w:cs="Times New Roman"/>
          <w:kern w:val="0"/>
          <w:sz w:val="24"/>
          <w:szCs w:val="24"/>
          <w:lang w:eastAsia="lt-LT"/>
          <w14:ligatures w14:val="none"/>
        </w:rPr>
        <w:t>5</w:t>
      </w:r>
    </w:p>
    <w:p w14:paraId="44B2E8D0" w14:textId="77777777" w:rsidR="00532ED3" w:rsidRPr="00532ED3" w:rsidRDefault="00532ED3" w:rsidP="00532ED3">
      <w:pPr>
        <w:tabs>
          <w:tab w:val="left" w:pos="993"/>
        </w:tabs>
        <w:spacing w:after="0" w:line="276" w:lineRule="auto"/>
        <w:ind w:firstLine="720"/>
        <w:jc w:val="both"/>
        <w:rPr>
          <w:rFonts w:ascii="Times New Roman" w:eastAsia="Calibri" w:hAnsi="Times New Roman" w:cs="Times New Roman"/>
          <w:kern w:val="0"/>
          <w:sz w:val="24"/>
          <w:szCs w:val="24"/>
          <w:lang w:eastAsia="lt-LT"/>
          <w14:ligatures w14:val="none"/>
        </w:rPr>
      </w:pPr>
    </w:p>
    <w:p w14:paraId="1E9A45D6" w14:textId="77777777" w:rsidR="00532ED3" w:rsidRPr="00532ED3" w:rsidRDefault="00532ED3" w:rsidP="00532ED3">
      <w:pPr>
        <w:tabs>
          <w:tab w:val="left" w:pos="993"/>
        </w:tabs>
        <w:spacing w:after="0" w:line="276" w:lineRule="auto"/>
        <w:ind w:firstLine="720"/>
        <w:jc w:val="both"/>
        <w:rPr>
          <w:rFonts w:ascii="Times New Roman" w:eastAsia="Calibri" w:hAnsi="Times New Roman" w:cs="Times New Roman"/>
          <w:kern w:val="0"/>
          <w:sz w:val="24"/>
          <w:szCs w:val="24"/>
          <w:lang w:eastAsia="lt-LT"/>
          <w14:ligatures w14:val="none"/>
        </w:rPr>
      </w:pPr>
    </w:p>
    <w:p w14:paraId="1F75E727" w14:textId="77777777" w:rsidR="00532ED3" w:rsidRPr="00532ED3" w:rsidRDefault="00532ED3" w:rsidP="00532ED3">
      <w:pPr>
        <w:tabs>
          <w:tab w:val="left" w:pos="993"/>
        </w:tabs>
        <w:spacing w:after="0" w:line="276" w:lineRule="auto"/>
        <w:ind w:firstLine="720"/>
        <w:jc w:val="both"/>
        <w:rPr>
          <w:rFonts w:ascii="Times New Roman" w:eastAsia="Calibri" w:hAnsi="Times New Roman" w:cs="Times New Roman"/>
          <w:b/>
          <w:bCs/>
          <w:kern w:val="0"/>
          <w:sz w:val="24"/>
          <w:szCs w:val="24"/>
          <w:lang w:eastAsia="lt-LT"/>
          <w14:ligatures w14:val="none"/>
        </w:rPr>
      </w:pPr>
      <w:r w:rsidRPr="00532ED3">
        <w:rPr>
          <w:rFonts w:ascii="Times New Roman" w:eastAsia="Calibri" w:hAnsi="Times New Roman" w:cs="Times New Roman"/>
          <w:b/>
          <w:bCs/>
          <w:kern w:val="0"/>
          <w:sz w:val="24"/>
          <w:szCs w:val="24"/>
          <w:lang w:eastAsia="lt-LT"/>
          <w14:ligatures w14:val="none"/>
        </w:rPr>
        <w:t>DĖL TIEKĖJŲ PAKLAUSIMŲ NAGRINĖJIMO</w:t>
      </w:r>
    </w:p>
    <w:p w14:paraId="093196CB" w14:textId="77777777" w:rsidR="00532ED3" w:rsidRPr="00532ED3" w:rsidRDefault="00532ED3" w:rsidP="00532ED3">
      <w:pPr>
        <w:tabs>
          <w:tab w:val="left" w:pos="993"/>
        </w:tabs>
        <w:spacing w:after="0" w:line="276" w:lineRule="auto"/>
        <w:ind w:firstLine="720"/>
        <w:jc w:val="both"/>
        <w:rPr>
          <w:rFonts w:ascii="Times New Roman" w:eastAsia="Calibri" w:hAnsi="Times New Roman" w:cs="Times New Roman"/>
          <w:b/>
          <w:bCs/>
          <w:kern w:val="0"/>
          <w:sz w:val="24"/>
          <w:szCs w:val="24"/>
          <w:lang w:eastAsia="lt-LT"/>
          <w14:ligatures w14:val="none"/>
        </w:rPr>
      </w:pPr>
    </w:p>
    <w:p w14:paraId="09D647D6" w14:textId="1E336D24" w:rsidR="00532ED3" w:rsidRDefault="00532ED3" w:rsidP="00532ED3">
      <w:pPr>
        <w:spacing w:after="0" w:line="264" w:lineRule="auto"/>
        <w:ind w:firstLine="720"/>
        <w:jc w:val="both"/>
        <w:rPr>
          <w:rFonts w:ascii="Times New Roman" w:eastAsia="Calibri" w:hAnsi="Times New Roman" w:cs="Times New Roman"/>
          <w:sz w:val="24"/>
          <w:szCs w:val="24"/>
        </w:rPr>
      </w:pPr>
      <w:r w:rsidRPr="00532ED3">
        <w:rPr>
          <w:rFonts w:ascii="Times New Roman" w:eastAsia="Times New Roman" w:hAnsi="Times New Roman" w:cs="Times New Roman"/>
          <w:sz w:val="24"/>
          <w:szCs w:val="24"/>
        </w:rPr>
        <w:t>Kauno rajono savivaldybės administracijos</w:t>
      </w:r>
      <w:r w:rsidRPr="00532ED3">
        <w:rPr>
          <w:rFonts w:ascii="Times New Roman" w:eastAsia="Calibri" w:hAnsi="Times New Roman" w:cs="Times New Roman"/>
          <w:b/>
          <w:bCs/>
          <w:spacing w:val="-2"/>
          <w:sz w:val="24"/>
          <w:szCs w:val="24"/>
        </w:rPr>
        <w:t xml:space="preserve"> </w:t>
      </w:r>
      <w:r w:rsidRPr="00532ED3">
        <w:rPr>
          <w:rFonts w:ascii="Times New Roman" w:eastAsia="Calibri" w:hAnsi="Times New Roman" w:cs="Times New Roman"/>
          <w:sz w:val="24"/>
          <w:szCs w:val="24"/>
          <w:lang w:eastAsia="lt-LT"/>
        </w:rPr>
        <w:t xml:space="preserve">sudaryta Nuolatinė viešųjų pirkimų komisija (toliau – Komisija) vykdydama pirkimo </w:t>
      </w:r>
      <w:r w:rsidRPr="000D5D03">
        <w:rPr>
          <w:rFonts w:ascii="Times New Roman" w:hAnsi="Times New Roman" w:cs="Times New Roman"/>
          <w:sz w:val="24"/>
          <w:szCs w:val="24"/>
        </w:rPr>
        <w:t>„Mokslo paskirties pastato Ledos g. 2, 2b, Užliedžių k., Užliedžių sen., Kauno r. sav</w:t>
      </w:r>
      <w:r>
        <w:rPr>
          <w:rFonts w:ascii="Times New Roman" w:hAnsi="Times New Roman" w:cs="Times New Roman"/>
          <w:sz w:val="24"/>
          <w:szCs w:val="24"/>
        </w:rPr>
        <w:t>.</w:t>
      </w:r>
      <w:r w:rsidRPr="000D5D03">
        <w:rPr>
          <w:rFonts w:ascii="Times New Roman" w:hAnsi="Times New Roman" w:cs="Times New Roman"/>
          <w:sz w:val="24"/>
          <w:szCs w:val="24"/>
        </w:rPr>
        <w:t>, rekonstravimo darbų pirkimas (Tarptautinis pirkimas) (KARTOJAMAS 3 KARTĄ)“</w:t>
      </w:r>
      <w:r w:rsidRPr="00532ED3">
        <w:rPr>
          <w:rFonts w:ascii="Times New Roman" w:eastAsia="Calibri" w:hAnsi="Times New Roman" w:cs="Times New Roman"/>
          <w:kern w:val="0"/>
          <w:sz w:val="24"/>
          <w:szCs w:val="24"/>
          <w:lang w:eastAsia="lt-LT"/>
          <w14:ligatures w14:val="none"/>
        </w:rPr>
        <w:t xml:space="preserve"> (toliau – Pirkimas</w:t>
      </w:r>
      <w:r w:rsidRPr="00532ED3">
        <w:rPr>
          <w:rFonts w:ascii="Times New Roman" w:eastAsia="Calibri" w:hAnsi="Times New Roman" w:cs="Times New Roman"/>
          <w:sz w:val="24"/>
          <w:szCs w:val="24"/>
        </w:rPr>
        <w:t>)</w:t>
      </w:r>
      <w:r w:rsidRPr="00532ED3">
        <w:rPr>
          <w:rFonts w:ascii="Times New Roman" w:eastAsia="Calibri" w:hAnsi="Times New Roman" w:cs="Times New Roman"/>
          <w:sz w:val="24"/>
          <w:szCs w:val="24"/>
          <w:lang w:eastAsia="lt-LT"/>
        </w:rPr>
        <w:t xml:space="preserve"> procedūras, 2025-1</w:t>
      </w:r>
      <w:r>
        <w:rPr>
          <w:rFonts w:ascii="Times New Roman" w:eastAsia="Calibri" w:hAnsi="Times New Roman" w:cs="Times New Roman"/>
          <w:sz w:val="24"/>
          <w:szCs w:val="24"/>
          <w:lang w:eastAsia="lt-LT"/>
        </w:rPr>
        <w:t>2</w:t>
      </w:r>
      <w:r w:rsidRPr="00532ED3">
        <w:rPr>
          <w:rFonts w:ascii="Times New Roman" w:eastAsia="Calibri" w:hAnsi="Times New Roman" w:cs="Times New Roman"/>
          <w:sz w:val="24"/>
          <w:szCs w:val="24"/>
          <w:lang w:eastAsia="lt-LT"/>
        </w:rPr>
        <w:t>-</w:t>
      </w:r>
      <w:r>
        <w:rPr>
          <w:rFonts w:ascii="Times New Roman" w:eastAsia="Calibri" w:hAnsi="Times New Roman" w:cs="Times New Roman"/>
          <w:sz w:val="24"/>
          <w:szCs w:val="24"/>
          <w:lang w:eastAsia="lt-LT"/>
        </w:rPr>
        <w:t>0</w:t>
      </w:r>
      <w:r w:rsidR="00A34659">
        <w:rPr>
          <w:rFonts w:ascii="Times New Roman" w:eastAsia="Calibri" w:hAnsi="Times New Roman" w:cs="Times New Roman"/>
          <w:sz w:val="24"/>
          <w:szCs w:val="24"/>
          <w:lang w:eastAsia="lt-LT"/>
        </w:rPr>
        <w:t>5</w:t>
      </w:r>
      <w:r w:rsidRPr="00532ED3">
        <w:rPr>
          <w:rFonts w:ascii="Times New Roman" w:eastAsia="Calibri" w:hAnsi="Times New Roman" w:cs="Times New Roman"/>
          <w:sz w:val="24"/>
          <w:szCs w:val="24"/>
          <w:lang w:eastAsia="lt-LT"/>
        </w:rPr>
        <w:t xml:space="preserve"> posėdyje </w:t>
      </w:r>
      <w:r w:rsidRPr="00532ED3">
        <w:rPr>
          <w:rFonts w:ascii="Times New Roman" w:eastAsia="Calibri" w:hAnsi="Times New Roman" w:cs="Times New Roman"/>
          <w:sz w:val="24"/>
          <w:szCs w:val="24"/>
        </w:rPr>
        <w:t>Centrinės viešųjų pirkimų informacinės sistemos (CVP IS ) priemonėmis  gautus tiekėjų paklausimus ir pateikia atsakymus:</w:t>
      </w:r>
      <w:bookmarkEnd w:id="0"/>
    </w:p>
    <w:p w14:paraId="05AA78C0" w14:textId="77777777" w:rsidR="00532ED3" w:rsidRPr="00532ED3" w:rsidRDefault="00532ED3" w:rsidP="00532ED3">
      <w:pPr>
        <w:spacing w:after="0" w:line="264" w:lineRule="auto"/>
        <w:ind w:firstLine="720"/>
        <w:jc w:val="both"/>
        <w:rPr>
          <w:rFonts w:ascii="Times New Roman" w:eastAsia="Calibri" w:hAnsi="Times New Roman" w:cs="Times New Roman"/>
          <w:sz w:val="24"/>
          <w:szCs w:val="24"/>
        </w:rPr>
      </w:pPr>
    </w:p>
    <w:p w14:paraId="7A8CD03B" w14:textId="2C9B585F" w:rsidR="00532ED3" w:rsidRPr="00532ED3" w:rsidRDefault="00532ED3" w:rsidP="00532ED3">
      <w:pPr>
        <w:jc w:val="both"/>
        <w:rPr>
          <w:rFonts w:ascii="Times New Roman" w:hAnsi="Times New Roman" w:cs="Times New Roman"/>
          <w:sz w:val="24"/>
          <w:szCs w:val="24"/>
        </w:rPr>
      </w:pPr>
      <w:r>
        <w:rPr>
          <w:rFonts w:ascii="Times New Roman" w:hAnsi="Times New Roman" w:cs="Times New Roman"/>
          <w:b/>
          <w:bCs/>
          <w:sz w:val="24"/>
          <w:szCs w:val="24"/>
        </w:rPr>
        <w:t xml:space="preserve">1 KLAUSIMAS. </w:t>
      </w:r>
      <w:r w:rsidRPr="00532ED3">
        <w:rPr>
          <w:rFonts w:ascii="Times New Roman" w:hAnsi="Times New Roman" w:cs="Times New Roman"/>
          <w:sz w:val="24"/>
          <w:szCs w:val="24"/>
        </w:rPr>
        <w:t xml:space="preserve">Konkurso sąlygų 5 priede „Pašalinimo pagrindai ir kvalifikaciniai reikalavimai“ Techninio ir profesinio pajėgumo 2.1 ir 2.3 p. punktuose nurodėte, kad „Į atliktų statybos darbų vertę negali būti įskaityta projektavimo, projekto vykdymo priežiūros paslaugų vertė, jei tos paslaugos buvo atliktos kartu su statybos darbai, taip pat kitų inžinerinių paslaugų atlikimas. Taip pat į pastate atliktų darbų vertę negali būti įskaityta kitų statinių (vandentiekio ir nuotekų tinklų, šilumos tinklų, automobilių stovėjimo aikštelių, pėsčiųjų takų ir privažiavimo kelių ir pan.) darbų vertė, jei tie darbai buvo atlikti kartu su pastato statybos darbais“. </w:t>
      </w:r>
    </w:p>
    <w:p w14:paraId="071D556F" w14:textId="77777777" w:rsidR="00532ED3" w:rsidRPr="00532ED3" w:rsidRDefault="00532ED3" w:rsidP="00532ED3">
      <w:pPr>
        <w:numPr>
          <w:ilvl w:val="0"/>
          <w:numId w:val="1"/>
        </w:numPr>
        <w:jc w:val="both"/>
        <w:rPr>
          <w:rFonts w:ascii="Times New Roman" w:hAnsi="Times New Roman" w:cs="Times New Roman"/>
          <w:sz w:val="24"/>
          <w:szCs w:val="24"/>
        </w:rPr>
      </w:pPr>
      <w:r w:rsidRPr="00532ED3">
        <w:rPr>
          <w:rFonts w:ascii="Times New Roman" w:hAnsi="Times New Roman" w:cs="Times New Roman"/>
          <w:sz w:val="24"/>
          <w:szCs w:val="24"/>
        </w:rPr>
        <w:t xml:space="preserve">Prašome paaiškinti, ką tiksliai turite omenyje vartodami sąvoką „kitų inžinerinių paslaugų atlikimas“. </w:t>
      </w:r>
    </w:p>
    <w:p w14:paraId="0B632951" w14:textId="77777777" w:rsidR="00532ED3" w:rsidRPr="00532ED3" w:rsidRDefault="00532ED3" w:rsidP="00532ED3">
      <w:pPr>
        <w:numPr>
          <w:ilvl w:val="0"/>
          <w:numId w:val="1"/>
        </w:numPr>
        <w:jc w:val="both"/>
        <w:rPr>
          <w:rFonts w:ascii="Times New Roman" w:hAnsi="Times New Roman" w:cs="Times New Roman"/>
          <w:sz w:val="24"/>
          <w:szCs w:val="24"/>
        </w:rPr>
      </w:pPr>
      <w:r w:rsidRPr="00532ED3">
        <w:rPr>
          <w:rFonts w:ascii="Times New Roman" w:hAnsi="Times New Roman" w:cs="Times New Roman"/>
          <w:sz w:val="24"/>
          <w:szCs w:val="24"/>
        </w:rPr>
        <w:t xml:space="preserve">Kokios konkrečiai paslaugos patenka į „kitų inžinerinių paslaugų“ apibrėžtį. </w:t>
      </w:r>
    </w:p>
    <w:p w14:paraId="7634BF6C" w14:textId="77777777" w:rsidR="00532ED3" w:rsidRPr="00532ED3" w:rsidRDefault="00532ED3" w:rsidP="00532ED3">
      <w:pPr>
        <w:numPr>
          <w:ilvl w:val="0"/>
          <w:numId w:val="1"/>
        </w:numPr>
        <w:jc w:val="both"/>
        <w:rPr>
          <w:rFonts w:ascii="Times New Roman" w:hAnsi="Times New Roman" w:cs="Times New Roman"/>
          <w:sz w:val="24"/>
          <w:szCs w:val="24"/>
        </w:rPr>
      </w:pPr>
      <w:r w:rsidRPr="00532ED3">
        <w:rPr>
          <w:rFonts w:ascii="Times New Roman" w:hAnsi="Times New Roman" w:cs="Times New Roman"/>
          <w:sz w:val="24"/>
          <w:szCs w:val="24"/>
        </w:rPr>
        <w:t xml:space="preserve">Siekiant teisingai įvertinti ir tinkamai deklaruoti atliktų darbų vertę, prašytume pateikti aiškų sąvokos turinio paaiškinimą arba pavyzdinį paslaugų sąrašą.  </w:t>
      </w:r>
    </w:p>
    <w:p w14:paraId="073C112F" w14:textId="64F4A810"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Pr="00532ED3">
        <w:rPr>
          <w:rFonts w:ascii="Times New Roman" w:hAnsi="Times New Roman" w:cs="Times New Roman"/>
          <w:sz w:val="24"/>
          <w:szCs w:val="24"/>
        </w:rPr>
        <w:t xml:space="preserve">Statyba – sudėtingas ir daugialypis procesas, kuris susideda iš įvairių etapų, tokių kaip statinių projektavimas, statybos darbų vykdymas, statinio pripažinimo tinkamu naudoti procedūrų atlikimas ir kt. Nuosekliai įgyvendinant skirtingus statybos proceso etapus, paprastai dalyvauja daug skirtingų subjektų (statytojas (užsakovas), rangovas, statinio statybos vadovas, statinio statybos techninis prižiūrėtojas, geodezininkas ir kt.), kurie atlieka įvairias funkcijos ir teikia paslaugas.  </w:t>
      </w:r>
    </w:p>
    <w:p w14:paraId="17299B86" w14:textId="6FC1FC7C"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sz w:val="24"/>
          <w:szCs w:val="24"/>
        </w:rPr>
        <w:t>Perkančioji organizacija paaiškina, kad inžinerinės paslaugos – tai specializuotos techninio pobūdžio paslaugos, siekiant užtikrinti statinio projektavimo ir statybos atitiktį statinio projektui, statybos techniniams reglamentas ir kitoms teisės normoms.  Šios paslaugos apima techninių sprendinių rengimą, jų tikslinimą, geodezinius ir kadastrinius matavimus, bei kitas inžinerines paslaugas, reikalingas statybos užbaigimo procedūroms (kad būtų surašytas reikiamas Statybos užbaigimo dokumentas), kaip numatyta Sutartyje, bei ištaisyti po Darbų atlikimo termino nustatytus defektus.</w:t>
      </w:r>
    </w:p>
    <w:p w14:paraId="14752B21" w14:textId="384FD123"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sz w:val="24"/>
          <w:szCs w:val="24"/>
        </w:rPr>
        <w:t>Atsižvelgiant į tai, kad konkurso sąlygų 5 priede „Pašalinimo pagrindai ir kvalifikaciniai reikalavimai“ Techninio ir profesinio pajėgumo 2.1 ir 2.3 p. punktuose nurodyta, kad „Į atliktų statybos darbų vertę negali būti įskaityta projektavimo, projekto vykdymo priežiūros paslaugų vertė, jei tos paslaugos buvo atliktos kartu su statybos darbai“, tai tokiu atveju „kitos inžinerinės paslaugos“ yra visos kitos specializuotos techninio pobūdžio paslaugos, kurios nėra projektavimas ir projekto vykdymo priežiūra, pvz.: geodeziniai ir kadastriniai matavimai, kitos inžinerinės paslaugos, reikalingos statybos užbaigimo procedūroms (kad būtų surašytas reikiamas Statybos užbaigimo dokumentas), kaip numatyta Sutartyje, bei ištaisyti po Darbų atlikimo termino nustatyti defektai.</w:t>
      </w:r>
    </w:p>
    <w:p w14:paraId="6E043EC4" w14:textId="77777777" w:rsidR="00532ED3" w:rsidRPr="00532ED3" w:rsidRDefault="00532ED3" w:rsidP="00532ED3">
      <w:pPr>
        <w:rPr>
          <w:rFonts w:ascii="Times New Roman" w:hAnsi="Times New Roman" w:cs="Times New Roman"/>
          <w:sz w:val="24"/>
          <w:szCs w:val="24"/>
        </w:rPr>
      </w:pPr>
    </w:p>
    <w:p w14:paraId="089BB99F" w14:textId="3134E644" w:rsidR="00532ED3" w:rsidRPr="00532ED3" w:rsidRDefault="00532ED3" w:rsidP="00532ED3">
      <w:pPr>
        <w:jc w:val="both"/>
        <w:rPr>
          <w:rFonts w:ascii="Times New Roman" w:hAnsi="Times New Roman" w:cs="Times New Roman"/>
          <w:sz w:val="24"/>
          <w:szCs w:val="24"/>
        </w:rPr>
      </w:pPr>
      <w:r>
        <w:rPr>
          <w:rFonts w:ascii="Times New Roman" w:hAnsi="Times New Roman" w:cs="Times New Roman"/>
          <w:b/>
          <w:bCs/>
          <w:sz w:val="24"/>
          <w:szCs w:val="24"/>
        </w:rPr>
        <w:t xml:space="preserve">2. KLAUSIMAS. </w:t>
      </w:r>
      <w:r w:rsidRPr="00532ED3">
        <w:rPr>
          <w:rFonts w:ascii="Times New Roman" w:hAnsi="Times New Roman" w:cs="Times New Roman"/>
          <w:sz w:val="24"/>
          <w:szCs w:val="24"/>
        </w:rPr>
        <w:t xml:space="preserve">Taip pat prašome pateikti baigtinį sąrašą darbų, kurie negali būti įtraukti į atliktų darbų vertę, nes nėra aišku „Taip pat į pastate atliktų darbų vertę negali būti įskaityta kitų statinių (vandentiekio ir nuotekų tinklų, šilumos tinklų, automobilių stovėjimo aikštelių, pėsčiųjų takų ir privažiavimo kelių ir pan.) darbų vertė, jei tie darbai buvo atlikti kartu su pastato statybos darbais“. Kas įeina į sąvoką „Kitų statinių“, neaišku ar gali būti įtrauktas vidaus vandentiekio ir nuotekų tinklai, ar gali būti įtraukti viduje esantys </w:t>
      </w:r>
      <w:r w:rsidRPr="00532ED3">
        <w:rPr>
          <w:rFonts w:ascii="Times New Roman" w:hAnsi="Times New Roman" w:cs="Times New Roman"/>
          <w:sz w:val="24"/>
          <w:szCs w:val="24"/>
        </w:rPr>
        <w:lastRenderedPageBreak/>
        <w:t xml:space="preserve">šilumos tinklai, ar turima galvoje, kad negalima įtraukti už pastato ribų esančių darbų, tokių kaip lauko vandentiekio ir nuotekų šalinimo darbai. </w:t>
      </w:r>
    </w:p>
    <w:p w14:paraId="23FC24CF" w14:textId="5572935F"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sz w:val="24"/>
          <w:szCs w:val="24"/>
        </w:rPr>
        <w:t xml:space="preserve">Jei negalima įtraukti už pastato ribų esančių darbų, prašome paaiškinti kodėl to daryti negalima, juk šiuo projektu perkama ne tik pastato rekonstravimo darbai, bet taip pat ir sklypo plano ir lauko vandentiekio ir nuotekų šalinimo įrengimo darbai. </w:t>
      </w:r>
    </w:p>
    <w:p w14:paraId="3D885C21" w14:textId="4E9C23DC" w:rsidR="00532ED3" w:rsidRPr="00532ED3" w:rsidRDefault="00532ED3" w:rsidP="00532ED3">
      <w:pPr>
        <w:jc w:val="both"/>
        <w:rPr>
          <w:rFonts w:ascii="Times New Roman" w:hAnsi="Times New Roman" w:cs="Times New Roman"/>
          <w:b/>
          <w:bCs/>
          <w:sz w:val="24"/>
          <w:szCs w:val="24"/>
        </w:rPr>
      </w:pPr>
      <w:r w:rsidRPr="00532ED3">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Pr="00532ED3">
        <w:rPr>
          <w:rFonts w:ascii="Times New Roman" w:hAnsi="Times New Roman" w:cs="Times New Roman"/>
          <w:sz w:val="24"/>
          <w:szCs w:val="24"/>
        </w:rPr>
        <w:t>Lietuvos Respublikos Viešųjų pirkimų įstatymo (toliau – VPĮ)  47 straipsnio 1 dalyje nustatyta, kad perkančioji organizacija privalo išsiaiškinti, ar tiekėjas yra kompetentingas, patikimas ir pajėgus įvykdyti pirkimo sąlygas, todėl ji turi teisę skelbime apie pirkimą ar kituose pirkimo dokumentuose nustatyti būtinus kandidatų ar dalyvių kvalifikacijos reikalavimus ir šių reikalavimų atitiktį patvirtinančius dokumentus ar informaciją. Perkančiosios organizacijos nustatyti kandidatų ar dalyvių kvalifikacijos reikalavimai negali dirbtinai riboti konkurencijos, turi būti proporcingi ir susiję su pirkimo objektu, tikslūs ir aiškūs. Tikrinant tiekėjų kvalifikaciją, pasirinktinai atsižvelgiama į jų: 1) teisę verstis atitinkama veikla; 2) finansinį ir ekonominį pajėgumą; 3) techninį ir profesinį pajėgumą. Tikrindama tiekėjo techninį ir profesinį pajėgumą, perkančioji organizacija gali reikalauti žmogiškųjų ir techninių išteklių bei patirties, kurie reikalingi pirkimo sutarčiai įvykdyti pagal pirkimo dokumentuose pirkimo objektui nustatytus kokybės reikalavimus. Reikiama tiekėjo patirtis visų pirma gali būti įrodoma užsakovų pažymomis apie tinkamai įvykdytas ankstesnes sutartis (VPĮ 47 straipsnio 6 dalis). Tiekėjo kvalifikacijos reikalavimai nustatomi pagal Viešųjų pirkimų tarnybos patvirtintą tiekėjo kvalifikacijos reikalavimų nustatymo metodiką (toliau - metodika) (VPĮ 47 straipsnio 7 dalis).</w:t>
      </w:r>
    </w:p>
    <w:p w14:paraId="33432E03" w14:textId="77777777"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sz w:val="24"/>
          <w:szCs w:val="24"/>
        </w:rPr>
        <w:t xml:space="preserve">Metodikos 15, 16 punktuose nustatyta, kad techninio ir profesinio pajėgumo vertinimo tikslas – įsitikinti, jog tiekėjas turi numatomos sudaryti pirkimo sutarties vykdymui būtinus žmogiškuosius ir techninius išteklius bei patirtį. Nustatydamas techninio ir profesinio pajėgumo reikalavimus, pirkimo vykdytojas turi atsižvelgti į perkamų prekių, paslaugų ar darbų pobūdį, kiekį, svarbą, paskirtį, numatomos sudaryti pirkimo sutarties trukmę ir vertę. Reikalavimas gali būti apibrėžiamas pasiektu rezultatu (pavyzdžiui, pastatytas tam tikras inžinerinis įrenginys, suteiktos tam tikros paslaugos), pinigine verte ar kitais požymiais – pirkimo vykdytojas turi patirtį apibrėžti ne visais galimais, bet tik būtinais kriterijais. </w:t>
      </w:r>
    </w:p>
    <w:p w14:paraId="334902A1" w14:textId="77777777"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sz w:val="24"/>
          <w:szCs w:val="24"/>
        </w:rPr>
        <w:t xml:space="preserve">Kasacinio teismo praktikoje tiekėjo kvalifikacija yra aiškinama kaip jo pajėgumas ir pasiruošimas tinkamai įvykdyti ketinamus prisiimti įsipareigojimus pagal viešojo pirkimo sutartį, kurie apima ar gali apimti ekonominį, techninį, profesinį pajėgumą, teisę verstis tam tikra veikla ar tam tikrų kokybės vadybos sistemų įdiegimą ir pan. (Lietuvos Aukščiausiojo Teismo 2022 m. gruodžio 7 d. nutarties civilinėje byloje Nr. e3K-3-264-378/2022 54 punktas). </w:t>
      </w:r>
    </w:p>
    <w:p w14:paraId="12F6B6A7" w14:textId="77777777"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sz w:val="24"/>
          <w:szCs w:val="24"/>
        </w:rPr>
        <w:t>Taip pat Kasacinio teismo praktikoje aiškinant įstatymo nuostatas dėl tiekėjų kvalifikacijos pažymima, jog VPĮ konkrečiai neįtvirtinta, kokius minimalius kvalifikacinius reikalavimus perkančioji organizacija turi nustatyti konkretaus pirkimo atveju, – tai, įvertinusi pirkimo pobūdį ir kitas reikšmingas aplinkybes, sprendžia pati perkančioji organizacija, tačiau bet kokiu atveju pirkimo sąlygose nustatyti minimalūs reikalavimai tiekėjo kvalifikacijai turi atitikti esminį kriterijų – jie turi būti pakankami tam, kad perkančioji organizacija galėtų būti užtikrinta tiekėjo pajėgumu įvykdyti pirkimo užduotį (Lietuvos Aukščiausiojo Teismo 2018 m. spalio 31 d. nutartis civilinėje byloje Nr. 3K-3-398-469/2018, 30 punktas).</w:t>
      </w:r>
    </w:p>
    <w:p w14:paraId="1DC9E82E" w14:textId="77777777"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sz w:val="24"/>
          <w:szCs w:val="24"/>
        </w:rPr>
        <w:t xml:space="preserve">Kitaip tariant Perkančioji organizacija privalo išsiaiškinti, ar tiekėjas yra kompetentingas, patikimas ir pajėgus įvykdyti pirkimo sąlygas, todėl ji turi teisę skelbime apie pirkimą ar kituose pirkimo dokumentuose nustatyti būtinus kandidatų ar dalyvių kvalifikacijos reikalavimus ir šių reikalavimų atitiktį patvirtinančius dokumentus ar informaciją. </w:t>
      </w:r>
    </w:p>
    <w:p w14:paraId="65DCF96F" w14:textId="77777777"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sz w:val="24"/>
          <w:szCs w:val="24"/>
        </w:rPr>
        <w:t xml:space="preserve">Primintina, kad statiniai pagal pobūdį skirstomi į pastatus ir inžinerinius statinius, vadovaujantis Lietuvos Respublikos Statybos įstatymo (toliau – LR SĮ) 2 str. 16 ir 37 dalių nuostatomis ( STR 1.01.03:2017 „Statinių ir patalpų klasifikavimas“ 5 p.). </w:t>
      </w:r>
    </w:p>
    <w:p w14:paraId="695A1786" w14:textId="77777777"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sz w:val="24"/>
          <w:szCs w:val="24"/>
        </w:rPr>
        <w:t xml:space="preserve">Šiuo atveju Perkančioji organizacija perka pastato rekonstravimo darbus. Tai yra dominuojantis  (pagrindinis) pirkimo objektas. Visi kiti darbai apimantys kitus inžinerinius statinius sudaro tik nedidelę dalį pirkimo objekto, todėl Tiekėjų patirtis įgyta atliekant rangos darbus kituose inžineriniuose statiniuose nesudaro pagrindo Perkančiajai organizacijai įsitikinti, ar Tiekėjas yra kompetentingas, patikimas ir pajėgus įvykdyti pirkimo sąlygas, tai yra rekonstruoti mokslo paskirties pastatą, kurio bendrasis plotas po rekonstrukcijos pasikeis ženkliai, tai yra vietoje 2327,68 kv.m. bus 6241,01 kv.m. </w:t>
      </w:r>
    </w:p>
    <w:p w14:paraId="41A8B0DF" w14:textId="57189340"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sz w:val="24"/>
          <w:szCs w:val="24"/>
        </w:rPr>
        <w:t xml:space="preserve">Atsižvelgiant į tai, kad konkurso sąlygų 5 priede „Pašalinimo pagrindai ir kvalifikaciniai reikalavimai“ Techninio ir profesinio pajėgumo 2.1 ir 2.3 p. punktuose nurodyta, kad „Taip pat į pastate atliktų darbų vertę negali būti įskaityta kitų statinių (vandentiekio ir nuotekų tinklų, šilumos tinklų, automobilių stovėjimo aikštelių, pėsčiųjų takų ir privažiavimo kelių ir pan.) darbų vertė, jei tie darbai </w:t>
      </w:r>
      <w:r w:rsidRPr="00532ED3">
        <w:rPr>
          <w:rFonts w:ascii="Times New Roman" w:hAnsi="Times New Roman" w:cs="Times New Roman"/>
          <w:sz w:val="24"/>
          <w:szCs w:val="24"/>
        </w:rPr>
        <w:lastRenderedPageBreak/>
        <w:t xml:space="preserve">buvo atlikti kartu su pastato statybos darbais“, tokiu atveju į pastato statybos darbų vertę gali būti įskaityti  tik darbai, kurie yra atlikti pastate ir ant pastato. </w:t>
      </w:r>
    </w:p>
    <w:p w14:paraId="7F96293C" w14:textId="77777777" w:rsidR="00532ED3" w:rsidRPr="00532ED3" w:rsidRDefault="00532ED3" w:rsidP="00532ED3">
      <w:pPr>
        <w:jc w:val="both"/>
        <w:rPr>
          <w:rFonts w:ascii="Times New Roman" w:hAnsi="Times New Roman" w:cs="Times New Roman"/>
          <w:sz w:val="24"/>
          <w:szCs w:val="24"/>
        </w:rPr>
      </w:pPr>
      <w:r w:rsidRPr="00532ED3">
        <w:rPr>
          <w:rFonts w:ascii="Times New Roman" w:hAnsi="Times New Roman" w:cs="Times New Roman"/>
          <w:sz w:val="24"/>
          <w:szCs w:val="24"/>
        </w:rPr>
        <w:t xml:space="preserve">Perkančioji organizacija nustatė kvalifikacijos reikalavimus proporcingus perkamam pirkimo objektui. Tiekėjas tik turintis atitinkamą patirtį bus pajėgus laiku, sėkmingai ir kokybiškai atlikti darbus, o Kauno rajono savivaldybės mokiniai turės tinkamas sąlygas įgyti išsilavinimą. </w:t>
      </w:r>
    </w:p>
    <w:p w14:paraId="3EB8D4EA" w14:textId="77777777" w:rsidR="00532ED3" w:rsidRPr="00532ED3" w:rsidRDefault="00532ED3" w:rsidP="00532ED3">
      <w:pPr>
        <w:rPr>
          <w:rFonts w:ascii="Times New Roman" w:hAnsi="Times New Roman" w:cs="Times New Roman"/>
          <w:sz w:val="24"/>
          <w:szCs w:val="24"/>
        </w:rPr>
      </w:pPr>
    </w:p>
    <w:p w14:paraId="75E2E44C" w14:textId="1C662875" w:rsidR="00532ED3" w:rsidRPr="00532ED3" w:rsidRDefault="00532ED3" w:rsidP="00532ED3">
      <w:pPr>
        <w:rPr>
          <w:rFonts w:ascii="Times New Roman" w:hAnsi="Times New Roman" w:cs="Times New Roman"/>
          <w:sz w:val="24"/>
          <w:szCs w:val="24"/>
        </w:rPr>
      </w:pPr>
      <w:r>
        <w:rPr>
          <w:rFonts w:ascii="Times New Roman" w:hAnsi="Times New Roman" w:cs="Times New Roman"/>
          <w:b/>
          <w:bCs/>
          <w:sz w:val="24"/>
          <w:szCs w:val="24"/>
        </w:rPr>
        <w:t xml:space="preserve">3. KLAUSIMAS. </w:t>
      </w:r>
      <w:r w:rsidRPr="00532ED3">
        <w:rPr>
          <w:rFonts w:ascii="Times New Roman" w:hAnsi="Times New Roman" w:cs="Times New Roman"/>
          <w:sz w:val="24"/>
          <w:szCs w:val="24"/>
        </w:rPr>
        <w:t xml:space="preserve">Ar techninio ir profesinio pajėgumo 2.1, 2.2. ir 2.3 punktams atitikti gali būti pateikta ta pati sutartis jei ji atitinka visus reikalavimus. </w:t>
      </w:r>
    </w:p>
    <w:p w14:paraId="3DC8C89B" w14:textId="76139F64" w:rsidR="00532ED3" w:rsidRPr="00532ED3" w:rsidRDefault="00532ED3" w:rsidP="00532ED3">
      <w:pPr>
        <w:rPr>
          <w:rFonts w:ascii="Times New Roman" w:hAnsi="Times New Roman" w:cs="Times New Roman"/>
          <w:b/>
          <w:bCs/>
          <w:sz w:val="24"/>
          <w:szCs w:val="24"/>
        </w:rPr>
      </w:pPr>
      <w:r w:rsidRPr="00532ED3">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Pr="00532ED3">
        <w:rPr>
          <w:rFonts w:ascii="Times New Roman" w:hAnsi="Times New Roman" w:cs="Times New Roman"/>
          <w:sz w:val="24"/>
          <w:szCs w:val="24"/>
        </w:rPr>
        <w:t xml:space="preserve">Taip, galima. </w:t>
      </w:r>
    </w:p>
    <w:p w14:paraId="36DDF65D" w14:textId="77777777" w:rsidR="00532ED3" w:rsidRPr="00532ED3" w:rsidRDefault="00532ED3" w:rsidP="000D5D03">
      <w:pPr>
        <w:rPr>
          <w:rFonts w:ascii="Times New Roman" w:hAnsi="Times New Roman" w:cs="Times New Roman"/>
          <w:b/>
          <w:bCs/>
          <w:sz w:val="24"/>
          <w:szCs w:val="24"/>
        </w:rPr>
      </w:pPr>
    </w:p>
    <w:sectPr w:rsidR="00532ED3" w:rsidRPr="00532ED3" w:rsidSect="00532ED3">
      <w:pgSz w:w="16701" w:h="16838"/>
      <w:pgMar w:top="1134" w:right="1374" w:bottom="1134" w:left="2569" w:header="567" w:footer="567" w:gutter="0"/>
      <w:paperSrc w:first="7" w:other="7"/>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03164"/>
    <w:multiLevelType w:val="hybridMultilevel"/>
    <w:tmpl w:val="EA02FC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44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D03"/>
    <w:rsid w:val="000D5D03"/>
    <w:rsid w:val="00216860"/>
    <w:rsid w:val="00334DCD"/>
    <w:rsid w:val="00532ED3"/>
    <w:rsid w:val="00623565"/>
    <w:rsid w:val="00A34659"/>
    <w:rsid w:val="00AF255E"/>
    <w:rsid w:val="00BE0129"/>
    <w:rsid w:val="00D57D64"/>
    <w:rsid w:val="00DE0D2F"/>
    <w:rsid w:val="00EA64C7"/>
    <w:rsid w:val="00ED549A"/>
    <w:rsid w:val="00EF6246"/>
    <w:rsid w:val="00F75C33"/>
    <w:rsid w:val="00F952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38B47"/>
  <w15:chartTrackingRefBased/>
  <w15:docId w15:val="{A611E257-0457-4EB2-8ADA-180B5BBA1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D5D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D5D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D5D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D5D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D5D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D5D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D5D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D5D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D5D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D5D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D5D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D5D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D5D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D5D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D5D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D5D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D5D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D5D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D5D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D5D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D5D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D5D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D5D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D5D03"/>
    <w:rPr>
      <w:i/>
      <w:iCs/>
      <w:color w:val="404040" w:themeColor="text1" w:themeTint="BF"/>
    </w:rPr>
  </w:style>
  <w:style w:type="paragraph" w:styleId="Sraopastraipa">
    <w:name w:val="List Paragraph"/>
    <w:basedOn w:val="prastasis"/>
    <w:uiPriority w:val="34"/>
    <w:qFormat/>
    <w:rsid w:val="000D5D03"/>
    <w:pPr>
      <w:ind w:left="720"/>
      <w:contextualSpacing/>
    </w:pPr>
  </w:style>
  <w:style w:type="character" w:styleId="Rykuspabraukimas">
    <w:name w:val="Intense Emphasis"/>
    <w:basedOn w:val="Numatytasispastraiposriftas"/>
    <w:uiPriority w:val="21"/>
    <w:qFormat/>
    <w:rsid w:val="000D5D03"/>
    <w:rPr>
      <w:i/>
      <w:iCs/>
      <w:color w:val="2F5496" w:themeColor="accent1" w:themeShade="BF"/>
    </w:rPr>
  </w:style>
  <w:style w:type="paragraph" w:styleId="Iskirtacitata">
    <w:name w:val="Intense Quote"/>
    <w:basedOn w:val="prastasis"/>
    <w:next w:val="prastasis"/>
    <w:link w:val="IskirtacitataDiagrama"/>
    <w:uiPriority w:val="30"/>
    <w:qFormat/>
    <w:rsid w:val="000D5D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D5D03"/>
    <w:rPr>
      <w:i/>
      <w:iCs/>
      <w:color w:val="2F5496" w:themeColor="accent1" w:themeShade="BF"/>
    </w:rPr>
  </w:style>
  <w:style w:type="character" w:styleId="Rykinuoroda">
    <w:name w:val="Intense Reference"/>
    <w:basedOn w:val="Numatytasispastraiposriftas"/>
    <w:uiPriority w:val="32"/>
    <w:qFormat/>
    <w:rsid w:val="000D5D0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6341</Words>
  <Characters>3615</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Zuzevičiūtė</dc:creator>
  <cp:keywords/>
  <dc:description/>
  <cp:lastModifiedBy>Giedrė Zuzevičiūtė</cp:lastModifiedBy>
  <cp:revision>5</cp:revision>
  <dcterms:created xsi:type="dcterms:W3CDTF">2025-12-03T21:33:00Z</dcterms:created>
  <dcterms:modified xsi:type="dcterms:W3CDTF">2025-12-05T07:03:00Z</dcterms:modified>
</cp:coreProperties>
</file>